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81" w:rsidRPr="007E2A3E" w:rsidRDefault="00CA3281" w:rsidP="00CA3281">
      <w:pPr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附件3</w:t>
      </w:r>
    </w:p>
    <w:p w:rsidR="00CA3281" w:rsidRPr="007E2A3E" w:rsidRDefault="00CA3281" w:rsidP="00CA3281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“乾元—满溢”30天开放式资产组合型人民币理财产品</w:t>
      </w:r>
    </w:p>
    <w:p w:rsidR="00CA3281" w:rsidRPr="007E2A3E" w:rsidRDefault="00CA3281" w:rsidP="00CA3281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（机构版）月度投资管理报告</w:t>
      </w:r>
    </w:p>
    <w:p w:rsidR="00CA3281" w:rsidRPr="007E2A3E" w:rsidRDefault="00CA3281" w:rsidP="00CA3281">
      <w:pPr>
        <w:spacing w:line="480" w:lineRule="exact"/>
        <w:ind w:firstLineChars="200" w:firstLine="420"/>
        <w:jc w:val="center"/>
        <w:rPr>
          <w:rFonts w:asciiTheme="majorEastAsia" w:eastAsiaTheme="majorEastAsia" w:hAnsiTheme="majorEastAsia"/>
          <w:color w:val="000000"/>
          <w:szCs w:val="21"/>
        </w:rPr>
      </w:pPr>
      <w:r w:rsidRPr="007E2A3E">
        <w:rPr>
          <w:rFonts w:asciiTheme="majorEastAsia" w:eastAsiaTheme="majorEastAsia" w:hAnsiTheme="majorEastAsia" w:hint="eastAsia"/>
          <w:color w:val="000000"/>
          <w:szCs w:val="21"/>
        </w:rPr>
        <w:t>报告日：201</w:t>
      </w:r>
      <w:r w:rsidR="00A27A60" w:rsidRPr="007E2A3E">
        <w:rPr>
          <w:rFonts w:asciiTheme="majorEastAsia" w:eastAsiaTheme="majorEastAsia" w:hAnsiTheme="majorEastAsia" w:hint="eastAsia"/>
          <w:color w:val="000000"/>
          <w:szCs w:val="21"/>
        </w:rPr>
        <w:t>8</w:t>
      </w:r>
      <w:r w:rsidRPr="007E2A3E">
        <w:rPr>
          <w:rFonts w:asciiTheme="majorEastAsia" w:eastAsiaTheme="majorEastAsia" w:hAnsiTheme="majorEastAsia" w:hint="eastAsia"/>
          <w:color w:val="000000"/>
          <w:szCs w:val="21"/>
        </w:rPr>
        <w:t>年</w:t>
      </w:r>
      <w:r w:rsidR="00787382">
        <w:rPr>
          <w:rFonts w:asciiTheme="majorEastAsia" w:eastAsiaTheme="majorEastAsia" w:hAnsiTheme="majorEastAsia" w:hint="eastAsia"/>
          <w:color w:val="000000"/>
          <w:szCs w:val="21"/>
        </w:rPr>
        <w:t>10</w:t>
      </w:r>
      <w:r w:rsidRPr="007E2A3E">
        <w:rPr>
          <w:rFonts w:asciiTheme="majorEastAsia" w:eastAsiaTheme="majorEastAsia" w:hAnsiTheme="majorEastAsia" w:hint="eastAsia"/>
          <w:color w:val="000000"/>
          <w:szCs w:val="21"/>
        </w:rPr>
        <w:t>月</w:t>
      </w:r>
      <w:r w:rsidR="00262CB5">
        <w:rPr>
          <w:rFonts w:asciiTheme="majorEastAsia" w:eastAsiaTheme="majorEastAsia" w:hAnsiTheme="majorEastAsia" w:hint="eastAsia"/>
          <w:color w:val="000000"/>
          <w:szCs w:val="21"/>
        </w:rPr>
        <w:t>3</w:t>
      </w:r>
      <w:r w:rsidR="00787382">
        <w:rPr>
          <w:rFonts w:asciiTheme="majorEastAsia" w:eastAsiaTheme="majorEastAsia" w:hAnsiTheme="majorEastAsia" w:hint="eastAsia"/>
          <w:color w:val="000000"/>
          <w:szCs w:val="21"/>
        </w:rPr>
        <w:t>1</w:t>
      </w:r>
      <w:r w:rsidRPr="007E2A3E">
        <w:rPr>
          <w:rFonts w:asciiTheme="majorEastAsia" w:eastAsiaTheme="majorEastAsia" w:hAnsiTheme="majorEastAsia" w:hint="eastAsia"/>
          <w:color w:val="000000"/>
          <w:szCs w:val="21"/>
        </w:rPr>
        <w:t xml:space="preserve">日    </w:t>
      </w:r>
    </w:p>
    <w:p w:rsidR="00CA3281" w:rsidRPr="007E2A3E" w:rsidRDefault="00CA3281" w:rsidP="00165E12">
      <w:pPr>
        <w:ind w:firstLine="42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“乾元—满溢”30天开放式资产组合型人民币理财产品（机构版）于2017年8月18日正式成立。截至报告日，本产品规模为</w:t>
      </w:r>
      <w:r w:rsidR="00165E12" w:rsidRPr="00165E12">
        <w:rPr>
          <w:rFonts w:asciiTheme="majorEastAsia" w:eastAsiaTheme="majorEastAsia" w:hAnsiTheme="majorEastAsia" w:hint="eastAsia"/>
          <w:color w:val="000000"/>
          <w:sz w:val="28"/>
          <w:szCs w:val="28"/>
        </w:rPr>
        <w:t>7,957,709,240.00</w:t>
      </w: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元。 </w:t>
      </w:r>
    </w:p>
    <w:p w:rsidR="00CA3281" w:rsidRPr="007E2A3E" w:rsidRDefault="00CA3281" w:rsidP="00CA3281">
      <w:pPr>
        <w:ind w:firstLineChars="200" w:firstLine="562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一、报告期投资者实际收益率</w:t>
      </w:r>
    </w:p>
    <w:p w:rsidR="00165E12" w:rsidRPr="00165E12" w:rsidRDefault="00AB7EED" w:rsidP="00165E12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32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中国建设银行</w:t>
      </w:r>
      <w:r w:rsidR="00165E12" w:rsidRPr="00165E12">
        <w:rPr>
          <w:rFonts w:asciiTheme="majorEastAsia" w:eastAsiaTheme="majorEastAsia" w:hAnsiTheme="majorEastAsia" w:hint="eastAsia"/>
          <w:sz w:val="28"/>
          <w:szCs w:val="32"/>
        </w:rPr>
        <w:t>于</w:t>
      </w:r>
      <w:r w:rsidR="00165E12" w:rsidRPr="00165E12">
        <w:rPr>
          <w:rFonts w:asciiTheme="majorEastAsia" w:eastAsiaTheme="majorEastAsia" w:hAnsiTheme="majorEastAsia" w:hint="eastAsia"/>
          <w:sz w:val="28"/>
        </w:rPr>
        <w:t>2018年10月25日</w:t>
      </w:r>
      <w:r w:rsidR="00165E12" w:rsidRPr="00165E12">
        <w:rPr>
          <w:rFonts w:asciiTheme="majorEastAsia" w:eastAsiaTheme="majorEastAsia" w:hAnsiTheme="majorEastAsia" w:hint="eastAsia"/>
          <w:sz w:val="28"/>
          <w:szCs w:val="32"/>
        </w:rPr>
        <w:t>（含）起，调整“乾元—满溢”30天开放式资产组合型人民币理财产品客户</w:t>
      </w:r>
      <w:proofErr w:type="gramStart"/>
      <w:r w:rsidR="00165E12" w:rsidRPr="00165E12">
        <w:rPr>
          <w:rFonts w:asciiTheme="majorEastAsia" w:eastAsiaTheme="majorEastAsia" w:hAnsiTheme="majorEastAsia" w:hint="eastAsia"/>
          <w:sz w:val="28"/>
          <w:szCs w:val="32"/>
        </w:rPr>
        <w:t>预期年化收益率</w:t>
      </w:r>
      <w:proofErr w:type="gramEnd"/>
      <w:r w:rsidR="00165E12" w:rsidRPr="00165E12">
        <w:rPr>
          <w:rFonts w:asciiTheme="majorEastAsia" w:eastAsiaTheme="majorEastAsia" w:hAnsiTheme="majorEastAsia" w:hint="eastAsia"/>
          <w:sz w:val="28"/>
          <w:szCs w:val="32"/>
        </w:rPr>
        <w:t>，具体如下表：</w:t>
      </w:r>
    </w:p>
    <w:p w:rsidR="00165E12" w:rsidRPr="00165E12" w:rsidRDefault="00165E12" w:rsidP="00165E12">
      <w:pPr>
        <w:adjustRightInd w:val="0"/>
        <w:snapToGrid w:val="0"/>
        <w:spacing w:line="200" w:lineRule="exact"/>
        <w:rPr>
          <w:rFonts w:asciiTheme="majorEastAsia" w:eastAsiaTheme="majorEastAsia" w:hAnsiTheme="majorEastAsia"/>
          <w:sz w:val="28"/>
          <w:szCs w:val="32"/>
        </w:rPr>
      </w:pPr>
    </w:p>
    <w:tbl>
      <w:tblPr>
        <w:tblW w:w="43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2380"/>
        <w:gridCol w:w="2503"/>
      </w:tblGrid>
      <w:tr w:rsidR="00165E12" w:rsidRPr="00AB7EED" w:rsidTr="00AB7EED">
        <w:trPr>
          <w:trHeight w:val="766"/>
          <w:tblHeader/>
          <w:jc w:val="center"/>
        </w:trPr>
        <w:tc>
          <w:tcPr>
            <w:tcW w:w="2609" w:type="dxa"/>
            <w:vAlign w:val="center"/>
            <w:hideMark/>
          </w:tcPr>
          <w:p w:rsidR="00165E12" w:rsidRPr="00AB7EED" w:rsidRDefault="00165E12" w:rsidP="00BA72E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4"/>
              </w:rPr>
            </w:pPr>
            <w:r w:rsidRPr="00AB7EED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2380" w:type="dxa"/>
            <w:vAlign w:val="center"/>
            <w:hideMark/>
          </w:tcPr>
          <w:p w:rsidR="00165E12" w:rsidRPr="00AB7EED" w:rsidRDefault="00165E12" w:rsidP="00BA72E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2"/>
              </w:rPr>
            </w:pPr>
            <w:r w:rsidRPr="00AB7EED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</w:rPr>
              <w:t>客户</w:t>
            </w:r>
            <w:proofErr w:type="gramStart"/>
            <w:r w:rsidRPr="00AB7EED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</w:rPr>
              <w:t>预期年化收益率</w:t>
            </w:r>
            <w:proofErr w:type="gramEnd"/>
          </w:p>
          <w:p w:rsidR="00165E12" w:rsidRPr="00AB7EED" w:rsidRDefault="00165E12" w:rsidP="00BA72E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4"/>
              </w:rPr>
            </w:pPr>
            <w:r w:rsidRPr="00AB7EED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</w:rPr>
              <w:t>（调整前）</w:t>
            </w:r>
          </w:p>
        </w:tc>
        <w:tc>
          <w:tcPr>
            <w:tcW w:w="2503" w:type="dxa"/>
            <w:vAlign w:val="center"/>
            <w:hideMark/>
          </w:tcPr>
          <w:p w:rsidR="00165E12" w:rsidRPr="00AB7EED" w:rsidRDefault="00165E12" w:rsidP="00AB7EE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2"/>
              </w:rPr>
            </w:pPr>
            <w:r w:rsidRPr="00AB7EED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</w:rPr>
              <w:t>客户</w:t>
            </w:r>
            <w:proofErr w:type="gramStart"/>
            <w:r w:rsidRPr="00AB7EED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</w:rPr>
              <w:t>预期年化收益率</w:t>
            </w:r>
            <w:proofErr w:type="gramEnd"/>
          </w:p>
          <w:p w:rsidR="00165E12" w:rsidRPr="00AB7EED" w:rsidRDefault="00165E12" w:rsidP="00AB7EE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4"/>
              </w:rPr>
            </w:pPr>
            <w:r w:rsidRPr="00AB7EED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</w:rPr>
              <w:t>（调整后）</w:t>
            </w:r>
          </w:p>
        </w:tc>
      </w:tr>
      <w:tr w:rsidR="00165E12" w:rsidRPr="00165E12" w:rsidTr="00AB7EED">
        <w:trPr>
          <w:trHeight w:val="632"/>
          <w:jc w:val="center"/>
        </w:trPr>
        <w:tc>
          <w:tcPr>
            <w:tcW w:w="2609" w:type="dxa"/>
            <w:vAlign w:val="center"/>
            <w:hideMark/>
          </w:tcPr>
          <w:p w:rsidR="00165E12" w:rsidRPr="00165E12" w:rsidRDefault="00165E12" w:rsidP="00BA72EF">
            <w:pPr>
              <w:jc w:val="left"/>
              <w:rPr>
                <w:rFonts w:asciiTheme="majorEastAsia" w:eastAsiaTheme="majorEastAsia" w:hAnsiTheme="majorEastAsia" w:cs="宋体"/>
                <w:color w:val="000000"/>
                <w:sz w:val="22"/>
                <w:szCs w:val="24"/>
              </w:rPr>
            </w:pPr>
            <w:r w:rsidRPr="00165E12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</w:rPr>
              <w:t>“乾元—满溢”30天</w:t>
            </w:r>
          </w:p>
        </w:tc>
        <w:tc>
          <w:tcPr>
            <w:tcW w:w="2380" w:type="dxa"/>
            <w:vAlign w:val="center"/>
            <w:hideMark/>
          </w:tcPr>
          <w:p w:rsidR="00165E12" w:rsidRPr="00165E12" w:rsidRDefault="00165E12" w:rsidP="00BA72EF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  <w:szCs w:val="24"/>
              </w:rPr>
            </w:pPr>
            <w:r w:rsidRPr="00165E12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3.90%</w:t>
            </w:r>
          </w:p>
        </w:tc>
        <w:tc>
          <w:tcPr>
            <w:tcW w:w="2503" w:type="dxa"/>
            <w:vAlign w:val="center"/>
            <w:hideMark/>
          </w:tcPr>
          <w:p w:rsidR="00165E12" w:rsidRPr="00165E12" w:rsidRDefault="00165E12" w:rsidP="00BA72EF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  <w:szCs w:val="24"/>
              </w:rPr>
            </w:pPr>
            <w:r w:rsidRPr="00165E12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3.50%</w:t>
            </w:r>
          </w:p>
        </w:tc>
      </w:tr>
    </w:tbl>
    <w:p w:rsidR="00165E12" w:rsidRPr="00165E12" w:rsidRDefault="00165E12" w:rsidP="00165E12">
      <w:pPr>
        <w:adjustRightInd w:val="0"/>
        <w:snapToGrid w:val="0"/>
        <w:spacing w:line="200" w:lineRule="exact"/>
        <w:jc w:val="left"/>
        <w:rPr>
          <w:rFonts w:asciiTheme="majorEastAsia" w:eastAsiaTheme="majorEastAsia" w:hAnsiTheme="majorEastAsia"/>
          <w:sz w:val="28"/>
          <w:szCs w:val="32"/>
        </w:rPr>
      </w:pPr>
    </w:p>
    <w:p w:rsidR="00165E12" w:rsidRPr="00AB7EED" w:rsidRDefault="00165E12" w:rsidP="00165E12">
      <w:pPr>
        <w:adjustRightInd w:val="0"/>
        <w:snapToGrid w:val="0"/>
        <w:spacing w:line="560" w:lineRule="exact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32"/>
        </w:rPr>
      </w:pPr>
      <w:r w:rsidRPr="00165E12">
        <w:rPr>
          <w:rFonts w:asciiTheme="majorEastAsia" w:eastAsiaTheme="majorEastAsia" w:hAnsiTheme="majorEastAsia" w:hint="eastAsia"/>
          <w:color w:val="000000"/>
          <w:sz w:val="28"/>
          <w:szCs w:val="32"/>
        </w:rPr>
        <w:t>新客户</w:t>
      </w:r>
      <w:proofErr w:type="gramStart"/>
      <w:r w:rsidRPr="00165E12">
        <w:rPr>
          <w:rFonts w:asciiTheme="majorEastAsia" w:eastAsiaTheme="majorEastAsia" w:hAnsiTheme="majorEastAsia" w:hint="eastAsia"/>
          <w:color w:val="000000"/>
          <w:sz w:val="28"/>
          <w:szCs w:val="32"/>
        </w:rPr>
        <w:t>预期年化收益率</w:t>
      </w:r>
      <w:proofErr w:type="gramEnd"/>
      <w:r w:rsidRPr="00165E12">
        <w:rPr>
          <w:rFonts w:asciiTheme="majorEastAsia" w:eastAsiaTheme="majorEastAsia" w:hAnsiTheme="majorEastAsia" w:hint="eastAsia"/>
          <w:color w:val="000000"/>
          <w:sz w:val="28"/>
          <w:szCs w:val="32"/>
        </w:rPr>
        <w:t>于</w:t>
      </w:r>
      <w:r w:rsidRPr="00165E12">
        <w:rPr>
          <w:rFonts w:asciiTheme="majorEastAsia" w:eastAsiaTheme="majorEastAsia" w:hAnsiTheme="majorEastAsia" w:hint="eastAsia"/>
          <w:sz w:val="28"/>
        </w:rPr>
        <w:t>2018年10月25日</w:t>
      </w:r>
      <w:r w:rsidRPr="00165E12">
        <w:rPr>
          <w:rFonts w:asciiTheme="majorEastAsia" w:eastAsiaTheme="majorEastAsia" w:hAnsiTheme="majorEastAsia" w:hint="eastAsia"/>
          <w:color w:val="000000"/>
          <w:sz w:val="28"/>
          <w:szCs w:val="32"/>
        </w:rPr>
        <w:t>（含）起执行。对于</w:t>
      </w:r>
      <w:r w:rsidRPr="00165E12">
        <w:rPr>
          <w:rFonts w:asciiTheme="majorEastAsia" w:eastAsiaTheme="majorEastAsia" w:hAnsiTheme="majorEastAsia" w:hint="eastAsia"/>
          <w:sz w:val="28"/>
        </w:rPr>
        <w:t>2018年10月25日（不含）</w:t>
      </w:r>
      <w:r w:rsidRPr="00165E12">
        <w:rPr>
          <w:rFonts w:asciiTheme="majorEastAsia" w:eastAsiaTheme="majorEastAsia" w:hAnsiTheme="majorEastAsia" w:hint="eastAsia"/>
          <w:color w:val="000000"/>
          <w:sz w:val="28"/>
          <w:szCs w:val="32"/>
        </w:rPr>
        <w:t>前已经购买成功且未赎回的存量投资本金，其中封闭期内的份额仍按照购买确认日当日的客户</w:t>
      </w:r>
      <w:proofErr w:type="gramStart"/>
      <w:r w:rsidRPr="00165E12">
        <w:rPr>
          <w:rFonts w:asciiTheme="majorEastAsia" w:eastAsiaTheme="majorEastAsia" w:hAnsiTheme="majorEastAsia" w:hint="eastAsia"/>
          <w:color w:val="000000"/>
          <w:sz w:val="28"/>
          <w:szCs w:val="32"/>
        </w:rPr>
        <w:t>预期年化收益率</w:t>
      </w:r>
      <w:proofErr w:type="gramEnd"/>
      <w:r w:rsidRPr="00165E12">
        <w:rPr>
          <w:rFonts w:asciiTheme="majorEastAsia" w:eastAsiaTheme="majorEastAsia" w:hAnsiTheme="majorEastAsia" w:hint="eastAsia"/>
          <w:color w:val="000000"/>
          <w:sz w:val="28"/>
          <w:szCs w:val="32"/>
        </w:rPr>
        <w:t>计算投资收益，非封闭期内的份额从</w:t>
      </w:r>
      <w:r w:rsidRPr="00165E12">
        <w:rPr>
          <w:rFonts w:asciiTheme="majorEastAsia" w:eastAsiaTheme="majorEastAsia" w:hAnsiTheme="majorEastAsia" w:hint="eastAsia"/>
          <w:sz w:val="28"/>
        </w:rPr>
        <w:t>2018年10月25日</w:t>
      </w:r>
      <w:r w:rsidRPr="00165E12">
        <w:rPr>
          <w:rFonts w:asciiTheme="majorEastAsia" w:eastAsiaTheme="majorEastAsia" w:hAnsiTheme="majorEastAsia" w:hint="eastAsia"/>
          <w:color w:val="000000"/>
          <w:sz w:val="28"/>
          <w:szCs w:val="32"/>
        </w:rPr>
        <w:t>（含）起按调整后的</w:t>
      </w:r>
      <w:proofErr w:type="gramStart"/>
      <w:r w:rsidRPr="00165E12">
        <w:rPr>
          <w:rFonts w:asciiTheme="majorEastAsia" w:eastAsiaTheme="majorEastAsia" w:hAnsiTheme="majorEastAsia" w:hint="eastAsia"/>
          <w:color w:val="000000"/>
          <w:sz w:val="28"/>
          <w:szCs w:val="32"/>
        </w:rPr>
        <w:t>预期年化收益率</w:t>
      </w:r>
      <w:proofErr w:type="gramEnd"/>
      <w:r w:rsidRPr="00165E12">
        <w:rPr>
          <w:rFonts w:asciiTheme="majorEastAsia" w:eastAsiaTheme="majorEastAsia" w:hAnsiTheme="majorEastAsia" w:hint="eastAsia"/>
          <w:color w:val="000000"/>
          <w:sz w:val="28"/>
          <w:szCs w:val="32"/>
        </w:rPr>
        <w:t>计算投资收益。</w:t>
      </w:r>
      <w:r w:rsidRPr="00165E12">
        <w:rPr>
          <w:rFonts w:asciiTheme="majorEastAsia" w:eastAsiaTheme="majorEastAsia" w:hAnsiTheme="majorEastAsia" w:hint="eastAsia"/>
          <w:sz w:val="28"/>
        </w:rPr>
        <w:t>2018年10月25日</w:t>
      </w:r>
      <w:r w:rsidRPr="00165E12">
        <w:rPr>
          <w:rFonts w:asciiTheme="majorEastAsia" w:eastAsiaTheme="majorEastAsia" w:hAnsiTheme="majorEastAsia" w:hint="eastAsia"/>
          <w:color w:val="000000"/>
          <w:sz w:val="28"/>
          <w:szCs w:val="32"/>
        </w:rPr>
        <w:t>（含）后购买的部分</w:t>
      </w:r>
      <w:r w:rsidRPr="00AB7EED">
        <w:rPr>
          <w:rFonts w:asciiTheme="majorEastAsia" w:eastAsiaTheme="majorEastAsia" w:hAnsiTheme="majorEastAsia" w:hint="eastAsia"/>
          <w:color w:val="000000"/>
          <w:sz w:val="28"/>
          <w:szCs w:val="32"/>
        </w:rPr>
        <w:t>自动执行调整后的客户</w:t>
      </w:r>
      <w:proofErr w:type="gramStart"/>
      <w:r w:rsidRPr="00AB7EED">
        <w:rPr>
          <w:rFonts w:asciiTheme="majorEastAsia" w:eastAsiaTheme="majorEastAsia" w:hAnsiTheme="majorEastAsia" w:hint="eastAsia"/>
          <w:color w:val="000000"/>
          <w:sz w:val="28"/>
          <w:szCs w:val="32"/>
        </w:rPr>
        <w:t>预期年化收益率</w:t>
      </w:r>
      <w:proofErr w:type="gramEnd"/>
      <w:r w:rsidRPr="00165E12">
        <w:rPr>
          <w:rFonts w:asciiTheme="majorEastAsia" w:eastAsiaTheme="majorEastAsia" w:hAnsiTheme="majorEastAsia" w:hint="eastAsia"/>
          <w:color w:val="000000"/>
          <w:sz w:val="28"/>
          <w:szCs w:val="32"/>
        </w:rPr>
        <w:t>。但前述情形下的最终投资收益均以我</w:t>
      </w:r>
      <w:proofErr w:type="gramStart"/>
      <w:r w:rsidRPr="00165E12">
        <w:rPr>
          <w:rFonts w:asciiTheme="majorEastAsia" w:eastAsiaTheme="majorEastAsia" w:hAnsiTheme="majorEastAsia" w:hint="eastAsia"/>
          <w:color w:val="000000"/>
          <w:sz w:val="28"/>
          <w:szCs w:val="32"/>
        </w:rPr>
        <w:t>行最终</w:t>
      </w:r>
      <w:proofErr w:type="gramEnd"/>
      <w:r w:rsidRPr="00165E12">
        <w:rPr>
          <w:rFonts w:asciiTheme="majorEastAsia" w:eastAsiaTheme="majorEastAsia" w:hAnsiTheme="majorEastAsia" w:hint="eastAsia"/>
          <w:color w:val="000000"/>
          <w:sz w:val="28"/>
          <w:szCs w:val="32"/>
        </w:rPr>
        <w:t>支付的</w:t>
      </w:r>
      <w:proofErr w:type="gramStart"/>
      <w:r w:rsidRPr="00165E12">
        <w:rPr>
          <w:rFonts w:asciiTheme="majorEastAsia" w:eastAsiaTheme="majorEastAsia" w:hAnsiTheme="majorEastAsia" w:hint="eastAsia"/>
          <w:color w:val="000000"/>
          <w:sz w:val="28"/>
          <w:szCs w:val="32"/>
        </w:rPr>
        <w:t>实际年化收益率</w:t>
      </w:r>
      <w:proofErr w:type="gramEnd"/>
      <w:r w:rsidRPr="00165E12">
        <w:rPr>
          <w:rFonts w:asciiTheme="majorEastAsia" w:eastAsiaTheme="majorEastAsia" w:hAnsiTheme="majorEastAsia" w:hint="eastAsia"/>
          <w:color w:val="000000"/>
          <w:sz w:val="28"/>
          <w:szCs w:val="32"/>
        </w:rPr>
        <w:t>为准。</w:t>
      </w:r>
    </w:p>
    <w:p w:rsidR="00CA3281" w:rsidRPr="00AA7A73" w:rsidRDefault="00CA3281" w:rsidP="00AA7A73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CA3281" w:rsidRPr="007E2A3E" w:rsidRDefault="00CA3281" w:rsidP="00CA3281">
      <w:pPr>
        <w:spacing w:line="480" w:lineRule="exact"/>
        <w:ind w:firstLineChars="200" w:firstLine="562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lastRenderedPageBreak/>
        <w:t>二、产品投资组合详细情况</w:t>
      </w:r>
    </w:p>
    <w:p w:rsidR="00CA3281" w:rsidRPr="007E2A3E" w:rsidRDefault="00CA3281" w:rsidP="00CA3281">
      <w:pPr>
        <w:spacing w:line="480" w:lineRule="exact"/>
        <w:ind w:firstLineChars="200" w:firstLine="562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（一）投资组合的基本情况</w:t>
      </w:r>
    </w:p>
    <w:p w:rsidR="00CA3281" w:rsidRPr="007E2A3E" w:rsidRDefault="00AB7EED" w:rsidP="00CA3281">
      <w:pPr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9BF3865" wp14:editId="64FE304B">
            <wp:extent cx="3562350" cy="2038350"/>
            <wp:effectExtent l="3810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A3281" w:rsidRPr="007E2A3E" w:rsidRDefault="00CA3281" w:rsidP="00CA3281">
      <w:pPr>
        <w:spacing w:line="480" w:lineRule="exact"/>
        <w:ind w:firstLineChars="146" w:firstLine="410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 xml:space="preserve"> （二）融资类资产的行内评级构成</w:t>
      </w:r>
    </w:p>
    <w:p w:rsidR="00CA3281" w:rsidRDefault="00AB7EED" w:rsidP="00CA3281">
      <w:pPr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6BC705C" wp14:editId="7E219F76">
            <wp:extent cx="3857625" cy="2095500"/>
            <wp:effectExtent l="38100" t="0" r="9525" b="1905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42BB3" w:rsidRDefault="00042BB3" w:rsidP="00042BB3">
      <w:pPr>
        <w:ind w:firstLine="420"/>
        <w:jc w:val="left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（三）</w:t>
      </w: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融资类资产的行内评级构成</w:t>
      </w:r>
    </w:p>
    <w:p w:rsidR="00042BB3" w:rsidRDefault="00AB7EED" w:rsidP="00AB7EED">
      <w:pPr>
        <w:ind w:firstLine="420"/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9430873" wp14:editId="69C18526">
            <wp:extent cx="3486150" cy="1676400"/>
            <wp:effectExtent l="0" t="0" r="19050" b="1905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A3281" w:rsidRPr="00042BB3" w:rsidRDefault="00CA3281" w:rsidP="00042BB3">
      <w:pPr>
        <w:ind w:firstLine="420"/>
        <w:jc w:val="left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（</w:t>
      </w:r>
      <w:r w:rsidR="00042BB3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四</w:t>
      </w:r>
      <w:r w:rsidRPr="007E2A3E">
        <w:rPr>
          <w:rFonts w:asciiTheme="majorEastAsia" w:eastAsiaTheme="majorEastAsia" w:hAnsiTheme="majorEastAsia"/>
          <w:b/>
          <w:color w:val="000000"/>
          <w:sz w:val="28"/>
          <w:szCs w:val="28"/>
        </w:rPr>
        <w:t>）</w:t>
      </w: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融资类资产的行业占</w:t>
      </w:r>
      <w:proofErr w:type="gramStart"/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比构成</w:t>
      </w:r>
      <w:proofErr w:type="gramEnd"/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及当月增减变化情况</w:t>
      </w:r>
    </w:p>
    <w:p w:rsidR="00CA3281" w:rsidRDefault="00AB7EED" w:rsidP="00FE2282">
      <w:pPr>
        <w:ind w:right="1400"/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843D660" wp14:editId="5B8E6F66">
            <wp:extent cx="5274310" cy="2124375"/>
            <wp:effectExtent l="0" t="0" r="21590" b="9525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42BB3" w:rsidRPr="00042BB3" w:rsidRDefault="00042BB3" w:rsidP="00042BB3">
      <w:pPr>
        <w:ind w:firstLine="420"/>
        <w:jc w:val="left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（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五</w:t>
      </w:r>
      <w:r w:rsidRPr="007E2A3E">
        <w:rPr>
          <w:rFonts w:asciiTheme="majorEastAsia" w:eastAsiaTheme="majorEastAsia" w:hAnsiTheme="majorEastAsia"/>
          <w:b/>
          <w:color w:val="000000"/>
          <w:sz w:val="28"/>
          <w:szCs w:val="28"/>
        </w:rPr>
        <w:t>）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投</w:t>
      </w: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资类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及其他</w:t>
      </w: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资产的行业占</w:t>
      </w:r>
      <w:proofErr w:type="gramStart"/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比构成</w:t>
      </w:r>
      <w:proofErr w:type="gramEnd"/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及当月增减变化情况</w:t>
      </w:r>
    </w:p>
    <w:p w:rsidR="00042BB3" w:rsidRPr="00042BB3" w:rsidRDefault="00AB7EED" w:rsidP="00FE2282">
      <w:pPr>
        <w:ind w:right="1400"/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F6FD1B7" wp14:editId="4B8A34DE">
            <wp:extent cx="5274310" cy="961463"/>
            <wp:effectExtent l="0" t="0" r="21590" b="10160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A3281" w:rsidRPr="007E2A3E" w:rsidRDefault="00CA3281" w:rsidP="00CA3281">
      <w:pPr>
        <w:spacing w:line="480" w:lineRule="exact"/>
        <w:ind w:firstLineChars="200" w:firstLine="562"/>
        <w:outlineLvl w:val="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三、</w:t>
      </w:r>
      <w:bookmarkStart w:id="0" w:name="_GoBack"/>
      <w:bookmarkEnd w:id="0"/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产品整体运作情况</w:t>
      </w:r>
    </w:p>
    <w:p w:rsidR="00CA3281" w:rsidRPr="007E2A3E" w:rsidRDefault="00CA3281" w:rsidP="00CA3281">
      <w:pPr>
        <w:spacing w:line="480" w:lineRule="exact"/>
        <w:ind w:firstLineChars="150" w:firstLine="42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CA3281" w:rsidRPr="007E2A3E" w:rsidRDefault="00CA3281" w:rsidP="00CA3281">
      <w:pPr>
        <w:spacing w:line="480" w:lineRule="exact"/>
        <w:ind w:firstLineChars="150" w:firstLine="42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CA3281" w:rsidRPr="007E2A3E" w:rsidRDefault="00CA3281" w:rsidP="00CA3281">
      <w:pPr>
        <w:spacing w:line="480" w:lineRule="exact"/>
        <w:ind w:firstLineChars="150" w:firstLine="42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CA3281" w:rsidRPr="007E2A3E" w:rsidRDefault="00CA3281" w:rsidP="00CA3281">
      <w:pPr>
        <w:spacing w:line="480" w:lineRule="exact"/>
        <w:ind w:right="362" w:firstLineChars="2050" w:firstLine="5740"/>
        <w:jc w:val="right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中国建设银行</w:t>
      </w:r>
    </w:p>
    <w:p w:rsidR="00DA7CFC" w:rsidRPr="007E2A3E" w:rsidRDefault="00CA3281" w:rsidP="00CA3281">
      <w:pPr>
        <w:spacing w:line="480" w:lineRule="exact"/>
        <w:ind w:right="222" w:firstLineChars="200" w:firstLine="560"/>
        <w:jc w:val="right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201</w:t>
      </w:r>
      <w:r w:rsidR="00DA7CFC"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8</w:t>
      </w: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年</w:t>
      </w:r>
      <w:r w:rsidR="00262CB5">
        <w:rPr>
          <w:rFonts w:asciiTheme="majorEastAsia" w:eastAsiaTheme="majorEastAsia" w:hAnsiTheme="majorEastAsia" w:hint="eastAsia"/>
          <w:color w:val="000000"/>
          <w:sz w:val="28"/>
          <w:szCs w:val="28"/>
        </w:rPr>
        <w:t>1</w:t>
      </w:r>
      <w:r w:rsidR="00787382">
        <w:rPr>
          <w:rFonts w:asciiTheme="majorEastAsia" w:eastAsiaTheme="majorEastAsia" w:hAnsiTheme="majorEastAsia" w:hint="eastAsia"/>
          <w:color w:val="000000"/>
          <w:sz w:val="28"/>
          <w:szCs w:val="28"/>
        </w:rPr>
        <w:t>1</w:t>
      </w: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月</w:t>
      </w:r>
      <w:r w:rsidR="00787382">
        <w:rPr>
          <w:rFonts w:asciiTheme="majorEastAsia" w:eastAsiaTheme="majorEastAsia" w:hAnsiTheme="majorEastAsia" w:hint="eastAsia"/>
          <w:color w:val="000000"/>
          <w:sz w:val="28"/>
          <w:szCs w:val="28"/>
        </w:rPr>
        <w:t>5</w:t>
      </w: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日</w:t>
      </w:r>
    </w:p>
    <w:p w:rsidR="00DA7CFC" w:rsidRPr="007E2A3E" w:rsidRDefault="00DA7CFC">
      <w:pPr>
        <w:widowControl/>
        <w:jc w:val="left"/>
        <w:rPr>
          <w:rFonts w:asciiTheme="majorEastAsia" w:eastAsiaTheme="majorEastAsia" w:hAnsiTheme="majorEastAsia"/>
          <w:color w:val="000000"/>
          <w:sz w:val="28"/>
          <w:szCs w:val="28"/>
        </w:rPr>
      </w:pPr>
    </w:p>
    <w:sectPr w:rsidR="00DA7CFC" w:rsidRPr="007E2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D51" w:rsidRDefault="006E7D51" w:rsidP="00CA3281">
      <w:r>
        <w:separator/>
      </w:r>
    </w:p>
  </w:endnote>
  <w:endnote w:type="continuationSeparator" w:id="0">
    <w:p w:rsidR="006E7D51" w:rsidRDefault="006E7D51" w:rsidP="00CA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D51" w:rsidRDefault="006E7D51" w:rsidP="00CA3281">
      <w:r>
        <w:separator/>
      </w:r>
    </w:p>
  </w:footnote>
  <w:footnote w:type="continuationSeparator" w:id="0">
    <w:p w:rsidR="006E7D51" w:rsidRDefault="006E7D51" w:rsidP="00CA3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E8"/>
    <w:rsid w:val="00033657"/>
    <w:rsid w:val="00042BB3"/>
    <w:rsid w:val="00044832"/>
    <w:rsid w:val="000E0123"/>
    <w:rsid w:val="001038FB"/>
    <w:rsid w:val="00121009"/>
    <w:rsid w:val="00153C80"/>
    <w:rsid w:val="00165E12"/>
    <w:rsid w:val="00243973"/>
    <w:rsid w:val="00254C37"/>
    <w:rsid w:val="00262CB5"/>
    <w:rsid w:val="00296DB9"/>
    <w:rsid w:val="002B7B85"/>
    <w:rsid w:val="002C5A92"/>
    <w:rsid w:val="00334E76"/>
    <w:rsid w:val="00344C08"/>
    <w:rsid w:val="003537DE"/>
    <w:rsid w:val="003767F0"/>
    <w:rsid w:val="003E476B"/>
    <w:rsid w:val="003E73F0"/>
    <w:rsid w:val="004302D5"/>
    <w:rsid w:val="00451A9A"/>
    <w:rsid w:val="00472DDC"/>
    <w:rsid w:val="004C792A"/>
    <w:rsid w:val="00511D81"/>
    <w:rsid w:val="005374D6"/>
    <w:rsid w:val="006461D9"/>
    <w:rsid w:val="00646EE8"/>
    <w:rsid w:val="006475CF"/>
    <w:rsid w:val="00653337"/>
    <w:rsid w:val="00677E5E"/>
    <w:rsid w:val="006D00E4"/>
    <w:rsid w:val="006D1172"/>
    <w:rsid w:val="006D225A"/>
    <w:rsid w:val="006E3B4A"/>
    <w:rsid w:val="006E7D51"/>
    <w:rsid w:val="00702240"/>
    <w:rsid w:val="0071744A"/>
    <w:rsid w:val="0076443A"/>
    <w:rsid w:val="00787382"/>
    <w:rsid w:val="007B0CC9"/>
    <w:rsid w:val="007D6A17"/>
    <w:rsid w:val="007E2A3E"/>
    <w:rsid w:val="007F319D"/>
    <w:rsid w:val="0080451E"/>
    <w:rsid w:val="00804A22"/>
    <w:rsid w:val="008275D8"/>
    <w:rsid w:val="0083786C"/>
    <w:rsid w:val="00842413"/>
    <w:rsid w:val="00875C53"/>
    <w:rsid w:val="00896C39"/>
    <w:rsid w:val="008A0862"/>
    <w:rsid w:val="008C1C11"/>
    <w:rsid w:val="008C2A7F"/>
    <w:rsid w:val="008E0538"/>
    <w:rsid w:val="008F000C"/>
    <w:rsid w:val="008F76FC"/>
    <w:rsid w:val="0091389C"/>
    <w:rsid w:val="009244E2"/>
    <w:rsid w:val="009628BB"/>
    <w:rsid w:val="0099137C"/>
    <w:rsid w:val="009D7C72"/>
    <w:rsid w:val="009F0B37"/>
    <w:rsid w:val="009F5148"/>
    <w:rsid w:val="009F5360"/>
    <w:rsid w:val="00A17E63"/>
    <w:rsid w:val="00A27A60"/>
    <w:rsid w:val="00A27B1E"/>
    <w:rsid w:val="00A43784"/>
    <w:rsid w:val="00A5107E"/>
    <w:rsid w:val="00A66F45"/>
    <w:rsid w:val="00A805A5"/>
    <w:rsid w:val="00AA1CF9"/>
    <w:rsid w:val="00AA646F"/>
    <w:rsid w:val="00AA7A73"/>
    <w:rsid w:val="00AB7EED"/>
    <w:rsid w:val="00AD4A45"/>
    <w:rsid w:val="00AF44C7"/>
    <w:rsid w:val="00AF5D6B"/>
    <w:rsid w:val="00AF78C7"/>
    <w:rsid w:val="00B25C56"/>
    <w:rsid w:val="00BB3141"/>
    <w:rsid w:val="00BC54E6"/>
    <w:rsid w:val="00BF7D54"/>
    <w:rsid w:val="00C205F7"/>
    <w:rsid w:val="00C57F1F"/>
    <w:rsid w:val="00CA3281"/>
    <w:rsid w:val="00CB5FF9"/>
    <w:rsid w:val="00D1586B"/>
    <w:rsid w:val="00D75127"/>
    <w:rsid w:val="00D94FDA"/>
    <w:rsid w:val="00D970B5"/>
    <w:rsid w:val="00DA7CFC"/>
    <w:rsid w:val="00DE1C0D"/>
    <w:rsid w:val="00DF404F"/>
    <w:rsid w:val="00E20346"/>
    <w:rsid w:val="00E20FBE"/>
    <w:rsid w:val="00E60892"/>
    <w:rsid w:val="00E67AFE"/>
    <w:rsid w:val="00E84F1B"/>
    <w:rsid w:val="00E96B78"/>
    <w:rsid w:val="00EF1450"/>
    <w:rsid w:val="00F764FC"/>
    <w:rsid w:val="00F90F08"/>
    <w:rsid w:val="00F95703"/>
    <w:rsid w:val="00FE2282"/>
    <w:rsid w:val="00FF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2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2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2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32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328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27A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27A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2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2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2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32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328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27A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27A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8557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3810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489209232891425E-2"/>
          <c:y val="1.2461059190031152E-2"/>
          <c:w val="0.65891654135148392"/>
          <c:h val="0.90615350651262039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'2018年10月'!$A$135:$A$137</c:f>
              <c:strCache>
                <c:ptCount val="3"/>
                <c:pt idx="0">
                  <c:v>融资类</c:v>
                </c:pt>
                <c:pt idx="1">
                  <c:v>投资类及其他</c:v>
                </c:pt>
                <c:pt idx="2">
                  <c:v>现金及债券类</c:v>
                </c:pt>
              </c:strCache>
            </c:strRef>
          </c:cat>
          <c:val>
            <c:numRef>
              <c:f>'2018年10月'!$B$135:$B$137</c:f>
              <c:numCache>
                <c:formatCode>0.00%</c:formatCode>
                <c:ptCount val="3"/>
                <c:pt idx="0">
                  <c:v>0.21501568965988921</c:v>
                </c:pt>
                <c:pt idx="1">
                  <c:v>0.21718401503908782</c:v>
                </c:pt>
                <c:pt idx="2">
                  <c:v>0.56780029530102294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872484689413822E-2"/>
          <c:y val="6.25E-2"/>
          <c:w val="0.69399256342957127"/>
          <c:h val="0.82407407407407407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'2018年10月'!$A$142:$A$144</c:f>
              <c:strCache>
                <c:ptCount val="3"/>
                <c:pt idx="0">
                  <c:v>AA-</c:v>
                </c:pt>
                <c:pt idx="1">
                  <c:v>AA+</c:v>
                </c:pt>
                <c:pt idx="2">
                  <c:v>AAA</c:v>
                </c:pt>
              </c:strCache>
            </c:strRef>
          </c:cat>
          <c:val>
            <c:numRef>
              <c:f>'2018年10月'!$B$142:$B$144</c:f>
              <c:numCache>
                <c:formatCode>0.00%</c:formatCode>
                <c:ptCount val="3"/>
                <c:pt idx="0">
                  <c:v>0.4689495066744051</c:v>
                </c:pt>
                <c:pt idx="1">
                  <c:v>0.51363900174114918</c:v>
                </c:pt>
                <c:pt idx="2">
                  <c:v>1.7411491584445733E-2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'2018年10月'!$A$153</c:f>
              <c:strCache>
                <c:ptCount val="1"/>
                <c:pt idx="0">
                  <c:v>无</c:v>
                </c:pt>
              </c:strCache>
            </c:strRef>
          </c:cat>
          <c:val>
            <c:numRef>
              <c:f>'2018年10月'!$B$153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6188197063602342"/>
          <c:y val="5.057471264367816E-2"/>
          <c:w val="0.71076983024180795"/>
          <c:h val="0.8342452710652548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'2018年10月'!$B$163</c:f>
              <c:strCache>
                <c:ptCount val="1"/>
                <c:pt idx="0">
                  <c:v>10月各行业</c:v>
                </c:pt>
              </c:strCache>
            </c:strRef>
          </c:tx>
          <c:invertIfNegative val="0"/>
          <c:cat>
            <c:strRef>
              <c:f>'2018年10月'!$A$164:$A$167</c:f>
              <c:strCache>
                <c:ptCount val="4"/>
                <c:pt idx="0">
                  <c:v>建筑业</c:v>
                </c:pt>
                <c:pt idx="1">
                  <c:v>水利、环境和公共设施管理业</c:v>
                </c:pt>
                <c:pt idx="2">
                  <c:v>租赁和商务服务业</c:v>
                </c:pt>
                <c:pt idx="3">
                  <c:v>电力、热力、燃气及水生产和供应业</c:v>
                </c:pt>
              </c:strCache>
            </c:strRef>
          </c:cat>
          <c:val>
            <c:numRef>
              <c:f>'2018年10月'!$B$164:$B$167</c:f>
              <c:numCache>
                <c:formatCode>0.00%</c:formatCode>
                <c:ptCount val="4"/>
                <c:pt idx="0">
                  <c:v>1.7411491584445733E-2</c:v>
                </c:pt>
                <c:pt idx="1">
                  <c:v>0.68775391758560656</c:v>
                </c:pt>
                <c:pt idx="2">
                  <c:v>0.1787579802669762</c:v>
                </c:pt>
                <c:pt idx="3">
                  <c:v>0.11607661056297155</c:v>
                </c:pt>
              </c:numCache>
            </c:numRef>
          </c:val>
        </c:ser>
        <c:ser>
          <c:idx val="1"/>
          <c:order val="1"/>
          <c:tx>
            <c:strRef>
              <c:f>'2018年10月'!$C$163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'2018年10月'!$A$164:$A$167</c:f>
              <c:strCache>
                <c:ptCount val="4"/>
                <c:pt idx="0">
                  <c:v>建筑业</c:v>
                </c:pt>
                <c:pt idx="1">
                  <c:v>水利、环境和公共设施管理业</c:v>
                </c:pt>
                <c:pt idx="2">
                  <c:v>租赁和商务服务业</c:v>
                </c:pt>
                <c:pt idx="3">
                  <c:v>电力、热力、燃气及水生产和供应业</c:v>
                </c:pt>
              </c:strCache>
            </c:strRef>
          </c:cat>
          <c:val>
            <c:numRef>
              <c:f>'2018年10月'!$C$164:$C$167</c:f>
              <c:numCache>
                <c:formatCode>0.00%</c:formatCode>
                <c:ptCount val="4"/>
                <c:pt idx="0">
                  <c:v>2.1082220660576249E-2</c:v>
                </c:pt>
                <c:pt idx="1">
                  <c:v>0.62192550948699932</c:v>
                </c:pt>
                <c:pt idx="2">
                  <c:v>0.21644413211524946</c:v>
                </c:pt>
                <c:pt idx="3">
                  <c:v>0.14054813773717498</c:v>
                </c:pt>
              </c:numCache>
            </c:numRef>
          </c:val>
        </c:ser>
        <c:ser>
          <c:idx val="2"/>
          <c:order val="2"/>
          <c:tx>
            <c:strRef>
              <c:f>'2018年10月'!$D$163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'2018年10月'!$A$164:$A$167</c:f>
              <c:strCache>
                <c:ptCount val="4"/>
                <c:pt idx="0">
                  <c:v>建筑业</c:v>
                </c:pt>
                <c:pt idx="1">
                  <c:v>水利、环境和公共设施管理业</c:v>
                </c:pt>
                <c:pt idx="2">
                  <c:v>租赁和商务服务业</c:v>
                </c:pt>
                <c:pt idx="3">
                  <c:v>电力、热力、燃气及水生产和供应业</c:v>
                </c:pt>
              </c:strCache>
            </c:strRef>
          </c:cat>
          <c:val>
            <c:numRef>
              <c:f>'2018年10月'!$D$164:$D$167</c:f>
              <c:numCache>
                <c:formatCode>0.00%</c:formatCode>
                <c:ptCount val="4"/>
                <c:pt idx="0">
                  <c:v>-3.6707290761305161E-3</c:v>
                </c:pt>
                <c:pt idx="1">
                  <c:v>6.5828408098607238E-2</c:v>
                </c:pt>
                <c:pt idx="2">
                  <c:v>-3.7686151848273258E-2</c:v>
                </c:pt>
                <c:pt idx="3">
                  <c:v>-2.4471527174203422E-2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993472"/>
        <c:axId val="77995008"/>
      </c:barChart>
      <c:catAx>
        <c:axId val="779934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7995008"/>
        <c:crosses val="autoZero"/>
        <c:auto val="1"/>
        <c:lblAlgn val="ctr"/>
        <c:lblOffset val="100"/>
        <c:noMultiLvlLbl val="0"/>
      </c:catAx>
      <c:valAx>
        <c:axId val="77995008"/>
        <c:scaling>
          <c:orientation val="minMax"/>
          <c:max val="0.70000000000000007"/>
          <c:min val="-0.5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77993472"/>
        <c:crosses val="autoZero"/>
        <c:crossBetween val="between"/>
        <c:majorUnit val="0.1"/>
      </c:valAx>
    </c:plotArea>
    <c:legend>
      <c:legendPos val="r"/>
      <c:layout>
        <c:manualLayout>
          <c:xMode val="edge"/>
          <c:yMode val="edge"/>
          <c:x val="0.79828903639604787"/>
          <c:y val="7.1841718937675159E-2"/>
          <c:w val="0.15070919889280054"/>
          <c:h val="0.2494199030205970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216990351241757"/>
          <c:y val="0.13455657492354739"/>
          <c:w val="0.76920050471579782"/>
          <c:h val="0.5590011798983842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'2018年10月'!$B$175</c:f>
              <c:strCache>
                <c:ptCount val="1"/>
                <c:pt idx="0">
                  <c:v>10月各行业</c:v>
                </c:pt>
              </c:strCache>
            </c:strRef>
          </c:tx>
          <c:invertIfNegative val="0"/>
          <c:cat>
            <c:strRef>
              <c:f>'2018年10月'!$A$176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'2018年10月'!$B$176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'2018年10月'!$C$175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'2018年10月'!$A$176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'2018年10月'!$C$176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'2018年10月'!$D$175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'2018年10月'!$A$176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'2018年10月'!$D$176</c:f>
              <c:numCache>
                <c:formatCode>0.00%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049664"/>
        <c:axId val="78051200"/>
      </c:barChart>
      <c:catAx>
        <c:axId val="780496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8051200"/>
        <c:crosses val="autoZero"/>
        <c:auto val="1"/>
        <c:lblAlgn val="ctr"/>
        <c:lblOffset val="100"/>
        <c:noMultiLvlLbl val="0"/>
      </c:catAx>
      <c:valAx>
        <c:axId val="78051200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crossAx val="780496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632054354409713"/>
          <c:y val="0.13150617640684822"/>
          <c:w val="0.12183446132778553"/>
          <c:h val="0.5412689927520527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2018-11-02T08:49:00Z</dcterms:created>
  <dcterms:modified xsi:type="dcterms:W3CDTF">2018-11-02T08:49:00Z</dcterms:modified>
</cp:coreProperties>
</file>